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5D4DD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1C558B" w:rsidRDefault="002D7E0D" w:rsidP="001C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558B">
        <w:rPr>
          <w:rFonts w:ascii="Times New Roman" w:hAnsi="Times New Roman" w:cs="Times New Roman"/>
          <w:b/>
          <w:sz w:val="28"/>
          <w:szCs w:val="28"/>
        </w:rPr>
        <w:t>Предложение за изпълнение на поръчката</w:t>
      </w:r>
    </w:p>
    <w:p w:rsidR="00F346EC" w:rsidRPr="002126E2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2126E2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2126E2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Pr="002126E2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F346EC" w:rsidRPr="002126E2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участие в </w:t>
      </w:r>
      <w:r w:rsidR="006C6CEE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поръчка, с предмет:</w:t>
      </w:r>
    </w:p>
    <w:p w:rsidR="00F83DEA" w:rsidRPr="002126E2" w:rsidRDefault="00F83DEA" w:rsidP="00F83DEA">
      <w:pPr>
        <w:jc w:val="both"/>
        <w:rPr>
          <w:rFonts w:ascii="Times New Roman" w:hAnsi="Times New Roman" w:cs="Times New Roman"/>
          <w:sz w:val="24"/>
          <w:szCs w:val="24"/>
        </w:rPr>
      </w:pPr>
      <w:r w:rsidRPr="002126E2">
        <w:rPr>
          <w:rFonts w:ascii="Times New Roman" w:hAnsi="Times New Roman" w:cs="Times New Roman"/>
          <w:b/>
          <w:bCs/>
          <w:sz w:val="24"/>
          <w:szCs w:val="24"/>
        </w:rPr>
        <w:t xml:space="preserve">Преустройство на сграда за социални дейности  (част от корпус А и корпус В) за обособяване на Център за грижа за възрастни хора в невъзможност за самообслужване (ЦГВХНС) и на Център за грижа за лица с различна форма на деменция (ЦГЛФД), в </w:t>
      </w:r>
      <w:r w:rsidR="00866620" w:rsidRPr="002126E2">
        <w:rPr>
          <w:rFonts w:ascii="Times New Roman" w:hAnsi="Times New Roman" w:cs="Times New Roman"/>
          <w:b/>
          <w:bCs/>
          <w:sz w:val="24"/>
          <w:szCs w:val="24"/>
        </w:rPr>
        <w:t>УПИ</w:t>
      </w:r>
      <w:r w:rsidRPr="002126E2">
        <w:rPr>
          <w:rFonts w:ascii="Times New Roman" w:hAnsi="Times New Roman" w:cs="Times New Roman"/>
          <w:b/>
          <w:bCs/>
          <w:sz w:val="24"/>
          <w:szCs w:val="24"/>
        </w:rPr>
        <w:t xml:space="preserve"> I-173 от кв. 15 по плана на гр. Габрово -  Борово-Велчевци</w:t>
      </w:r>
      <w:r w:rsidRPr="002126E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378C0" w:rsidRPr="00764D88" w:rsidRDefault="008378C0" w:rsidP="00764D88">
      <w:pPr>
        <w:tabs>
          <w:tab w:val="left" w:pos="-6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346EC" w:rsidRPr="002126E2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2126E2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01FE6" w:rsidRPr="002126E2" w:rsidRDefault="00F346EC" w:rsidP="002126E2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2126E2">
        <w:rPr>
          <w:b w:val="0"/>
          <w:sz w:val="24"/>
          <w:szCs w:val="24"/>
          <w:lang w:val="en-US" w:eastAsia="bg-BG"/>
        </w:rPr>
        <w:t>След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като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се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на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за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2126E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2126E2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2126E2">
        <w:rPr>
          <w:sz w:val="24"/>
          <w:szCs w:val="24"/>
          <w:lang w:eastAsia="bg-BG"/>
        </w:rPr>
        <w:t xml:space="preserve">, </w:t>
      </w:r>
      <w:r w:rsidRPr="002126E2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следните срокове:</w:t>
      </w:r>
    </w:p>
    <w:p w:rsidR="00C63404" w:rsidRPr="007710FA" w:rsidRDefault="00854DE5" w:rsidP="00F346EC">
      <w:pPr>
        <w:pStyle w:val="ListParagraph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2126E2">
        <w:rPr>
          <w:b/>
          <w:lang w:eastAsia="bg-BG"/>
        </w:rPr>
        <w:t>Срок за изпълнение на строителството</w:t>
      </w:r>
      <w:r w:rsidR="00F83DEA" w:rsidRPr="002126E2">
        <w:rPr>
          <w:b/>
          <w:lang w:eastAsia="bg-BG"/>
        </w:rPr>
        <w:t>: …………………</w:t>
      </w:r>
      <w:r w:rsidRPr="002126E2">
        <w:rPr>
          <w:b/>
          <w:lang w:eastAsia="bg-BG"/>
        </w:rPr>
        <w:t>/календарни дни</w:t>
      </w:r>
      <w:r w:rsidRPr="002126E2">
        <w:rPr>
          <w:lang w:eastAsia="bg-BG"/>
        </w:rPr>
        <w:t>/</w:t>
      </w:r>
      <w:r w:rsidR="00C63404" w:rsidRPr="002126E2">
        <w:rPr>
          <w:lang w:eastAsia="bg-BG"/>
        </w:rPr>
        <w:t>, считано от датата на подписване на Протокола за откриване на строителната площадка и определяне на строителната линия и ниво на строежа – обр.2</w:t>
      </w:r>
      <w:r w:rsidR="00F83DEA" w:rsidRPr="002126E2">
        <w:rPr>
          <w:lang w:eastAsia="bg-BG"/>
        </w:rPr>
        <w:t>/2а</w:t>
      </w:r>
      <w:r w:rsidR="00FD5B6D" w:rsidRPr="002126E2">
        <w:rPr>
          <w:lang w:eastAsia="bg-BG"/>
        </w:rPr>
        <w:t xml:space="preserve"> </w:t>
      </w:r>
      <w:r w:rsidR="00E01FE6" w:rsidRPr="002126E2">
        <w:rPr>
          <w:lang w:eastAsia="bg-BG"/>
        </w:rPr>
        <w:t xml:space="preserve">до </w:t>
      </w:r>
      <w:r w:rsidR="00F83DEA" w:rsidRPr="002126E2">
        <w:rPr>
          <w:lang w:eastAsia="bg-BG"/>
        </w:rPr>
        <w:t>подписване на</w:t>
      </w:r>
      <w:r w:rsidR="00E01FE6" w:rsidRPr="002126E2">
        <w:rPr>
          <w:lang w:eastAsia="bg-BG"/>
        </w:rPr>
        <w:t xml:space="preserve"> акт обр.15 </w:t>
      </w:r>
      <w:r w:rsidR="00C63404" w:rsidRPr="002126E2">
        <w:rPr>
          <w:lang w:eastAsia="bg-BG"/>
        </w:rPr>
        <w:t>по Наредба №3/31.07.2013г. за съставяне на актове и протоколи по време на строителството</w:t>
      </w:r>
      <w:r w:rsidR="00C63404" w:rsidRPr="007710FA">
        <w:rPr>
          <w:lang w:eastAsia="bg-BG"/>
        </w:rPr>
        <w:t xml:space="preserve">. </w:t>
      </w:r>
      <w:r w:rsidR="001638F4" w:rsidRPr="007710FA">
        <w:rPr>
          <w:lang w:eastAsia="bg-BG"/>
        </w:rPr>
        <w:t>(но не по-късно от 30.08.2020 г.).</w:t>
      </w:r>
    </w:p>
    <w:p w:rsidR="00E01FE6" w:rsidRPr="002126E2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</w:t>
      </w:r>
      <w:r w:rsidR="00F83DEA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210</w:t>
      </w:r>
      <w:r w:rsidR="00FD5B6D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календарни дни и не</w:t>
      </w: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F83DEA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330</w:t>
      </w:r>
      <w:r w:rsidR="00FD5B6D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C63404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2126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 w:rsidRPr="002126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участие в процедурата се отстранява участник предложил срок за строителство</w:t>
      </w:r>
      <w:r w:rsidR="00E01FE6"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2126E2" w:rsidRDefault="00262D58" w:rsidP="00F346EC">
      <w:pPr>
        <w:spacing w:after="0"/>
        <w:ind w:right="23" w:firstLine="720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B45322">
        <w:rPr>
          <w:rFonts w:ascii="Times New Roman CYR" w:hAnsi="Times New Roman CYR" w:cs="Times New Roman CYR"/>
          <w:i/>
          <w:iCs/>
          <w:sz w:val="24"/>
          <w:szCs w:val="24"/>
        </w:rPr>
        <w:t xml:space="preserve">Участникът следва да приложи към техническото си предложение линеен </w:t>
      </w:r>
      <w:r w:rsidR="00B45322">
        <w:rPr>
          <w:rFonts w:ascii="Times New Roman CYR" w:hAnsi="Times New Roman CYR" w:cs="Times New Roman CYR"/>
          <w:i/>
          <w:iCs/>
          <w:sz w:val="24"/>
          <w:szCs w:val="24"/>
        </w:rPr>
        <w:t>календарен план-</w:t>
      </w:r>
      <w:r w:rsidRPr="00B45322">
        <w:rPr>
          <w:rFonts w:ascii="Times New Roman CYR" w:hAnsi="Times New Roman CYR" w:cs="Times New Roman CYR"/>
          <w:i/>
          <w:iCs/>
          <w:sz w:val="24"/>
          <w:szCs w:val="24"/>
        </w:rPr>
        <w:t xml:space="preserve">график за изпълнението на всички видове работи по КС (визуализиращ времетраенето, технологичната последователност, технологичното време за изчакване </w:t>
      </w:r>
      <w:r w:rsidR="00C91676" w:rsidRPr="00B45322">
        <w:rPr>
          <w:rFonts w:ascii="Times New Roman CYR" w:hAnsi="Times New Roman CYR" w:cs="Times New Roman CYR"/>
          <w:i/>
          <w:iCs/>
          <w:sz w:val="24"/>
          <w:szCs w:val="24"/>
        </w:rPr>
        <w:t xml:space="preserve">между отделните видове работи) и </w:t>
      </w:r>
      <w:r w:rsidRPr="00B45322">
        <w:rPr>
          <w:rFonts w:ascii="Times New Roman CYR" w:hAnsi="Times New Roman CYR" w:cs="Times New Roman CYR"/>
          <w:i/>
          <w:iCs/>
          <w:sz w:val="24"/>
          <w:szCs w:val="24"/>
        </w:rPr>
        <w:t>диаграма на работната ръка.</w:t>
      </w:r>
    </w:p>
    <w:p w:rsidR="00617688" w:rsidRPr="002126E2" w:rsidRDefault="00617688" w:rsidP="00617688">
      <w:pPr>
        <w:pStyle w:val="ListParagraph"/>
        <w:numPr>
          <w:ilvl w:val="0"/>
          <w:numId w:val="30"/>
        </w:numPr>
        <w:ind w:right="23"/>
        <w:jc w:val="both"/>
        <w:rPr>
          <w:b/>
          <w:lang w:eastAsia="bg-BG"/>
        </w:rPr>
      </w:pPr>
      <w:r w:rsidRPr="002126E2">
        <w:rPr>
          <w:b/>
        </w:rPr>
        <w:t>Гаранционен срок за топлоизолационна  и хидроизолационни системи: ............................../месеца/.</w:t>
      </w:r>
    </w:p>
    <w:p w:rsidR="00617688" w:rsidRPr="002126E2" w:rsidRDefault="00617688" w:rsidP="00617688">
      <w:pPr>
        <w:spacing w:after="60"/>
        <w:ind w:right="-82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lastRenderedPageBreak/>
        <w:t>Указание</w:t>
      </w:r>
      <w:r w:rsidRPr="002126E2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2126E2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126E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Участниците нямат право да предлагат гаранционни срокове под предвидените в Наредба № 2 на Министъра на регионалното развитие и благоустройството от 31.07.2003 г. 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минималният гаранционен срок е 5 години (60 месеца).</w:t>
      </w:r>
    </w:p>
    <w:p w:rsidR="002126E2" w:rsidRPr="002126E2" w:rsidRDefault="002126E2" w:rsidP="002126E2">
      <w:pPr>
        <w:spacing w:after="60"/>
        <w:ind w:right="-82"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5322">
        <w:rPr>
          <w:rFonts w:ascii="Times New Roman" w:hAnsi="Times New Roman" w:cs="Times New Roman"/>
          <w:b/>
          <w:i/>
          <w:sz w:val="24"/>
          <w:szCs w:val="24"/>
        </w:rPr>
        <w:t>Оценява се гаранционен срок в месеци на изпълнените СМР.</w:t>
      </w:r>
      <w:r w:rsidRPr="00B4532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4532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Забележка: Когато участник е предложил в офертата си гаранционен срок над 120 месеца, за целите на методиката тази стойност ще бъде приравнена на 120 месеца.</w:t>
      </w:r>
    </w:p>
    <w:p w:rsidR="00617688" w:rsidRPr="002126E2" w:rsidRDefault="00617688" w:rsidP="00617688">
      <w:pPr>
        <w:pStyle w:val="ListParagraph"/>
        <w:numPr>
          <w:ilvl w:val="0"/>
          <w:numId w:val="30"/>
        </w:numPr>
        <w:ind w:right="23"/>
        <w:jc w:val="both"/>
        <w:rPr>
          <w:lang w:eastAsia="bg-BG"/>
        </w:rPr>
      </w:pPr>
      <w:r w:rsidRPr="002126E2">
        <w:rPr>
          <w:b/>
          <w:iCs/>
        </w:rPr>
        <w:t xml:space="preserve">Гаранционен срок за </w:t>
      </w:r>
      <w:r w:rsidR="00744243" w:rsidRPr="002126E2">
        <w:rPr>
          <w:b/>
          <w:iCs/>
          <w:u w:val="single"/>
        </w:rPr>
        <w:t>дограма, подови покрития и вътрешни инсталации</w:t>
      </w:r>
      <w:r w:rsidRPr="002126E2">
        <w:rPr>
          <w:b/>
          <w:iCs/>
        </w:rPr>
        <w:t>: ....................../месеца/.</w:t>
      </w:r>
    </w:p>
    <w:p w:rsidR="00617688" w:rsidRPr="002126E2" w:rsidRDefault="00617688" w:rsidP="00617688">
      <w:pPr>
        <w:spacing w:after="60"/>
        <w:ind w:right="-82" w:firstLine="720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2126E2"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</w:t>
      </w:r>
      <w:r w:rsidRPr="002126E2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2126E2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126E2">
        <w:rPr>
          <w:rFonts w:ascii="Times New Roman" w:hAnsi="Times New Roman" w:cs="Times New Roman"/>
          <w:i/>
          <w:sz w:val="24"/>
          <w:szCs w:val="24"/>
          <w:lang w:eastAsia="bg-BG"/>
        </w:rPr>
        <w:t>Участниците нямат право да предлагат гаранционни срокове под предвидените в Наредба № 2 на Министъра на регионалното развитие и благоустройството от 31.07.2003 г. 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минималният гаранционен срок е 5 години (60 месеца).</w:t>
      </w:r>
    </w:p>
    <w:p w:rsidR="002126E2" w:rsidRPr="002126E2" w:rsidRDefault="002126E2" w:rsidP="002126E2">
      <w:pPr>
        <w:spacing w:after="60"/>
        <w:ind w:right="-82"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5322">
        <w:rPr>
          <w:rFonts w:ascii="Times New Roman" w:hAnsi="Times New Roman" w:cs="Times New Roman"/>
          <w:b/>
          <w:i/>
          <w:sz w:val="24"/>
          <w:szCs w:val="24"/>
        </w:rPr>
        <w:t>Оценява се гаранционен срок в месеци на изпълнените СМР.</w:t>
      </w:r>
      <w:r w:rsidRPr="00B4532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4532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Забележка: Когато участник е предложил в офертата си гаранционен срок над 120 месеца, за целите на методиката тази стойност ще бъде приравнена на 120 месеца.</w:t>
      </w:r>
    </w:p>
    <w:p w:rsidR="0067041D" w:rsidRPr="002126E2" w:rsidRDefault="00617688" w:rsidP="00617688">
      <w:pPr>
        <w:pStyle w:val="ListParagraph"/>
        <w:numPr>
          <w:ilvl w:val="0"/>
          <w:numId w:val="30"/>
        </w:numPr>
        <w:ind w:right="23"/>
        <w:jc w:val="both"/>
        <w:rPr>
          <w:b/>
          <w:lang w:eastAsia="bg-BG"/>
        </w:rPr>
      </w:pPr>
      <w:r w:rsidRPr="002126E2">
        <w:rPr>
          <w:b/>
          <w:iCs/>
        </w:rPr>
        <w:t xml:space="preserve">Качество на основни строителни материали, които ще бъдат вложени </w:t>
      </w:r>
    </w:p>
    <w:p w:rsidR="00617688" w:rsidRPr="002126E2" w:rsidRDefault="00617688" w:rsidP="00617688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оценка подлежат </w:t>
      </w:r>
      <w:r w:rsidR="00C91676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посочените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основни материала, за които участникът трябва да представи като приложения към настоящото </w:t>
      </w:r>
      <w:r w:rsidR="00C91676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редложение</w:t>
      </w:r>
      <w:r w:rsidR="00C916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изпълнение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91676" w:rsidRPr="00C91676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C91676" w:rsidRPr="00B45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екларации за експлоатационни показатели/за характеристики и/или със сертификати и/или удостоверения и/или каталози и/или брошури и/или други документи, доказващи съответствие на влаганите </w:t>
      </w:r>
      <w:r w:rsidR="00B45322" w:rsidRPr="00B45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основните </w:t>
      </w:r>
      <w:r w:rsidR="00C91676" w:rsidRPr="00B45322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материали</w:t>
      </w:r>
      <w:r w:rsidR="00B45322" w:rsidRPr="00B453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настоящата точка</w:t>
      </w:r>
      <w:r w:rsidRPr="00B45322">
        <w:rPr>
          <w:rFonts w:ascii="Times New Roman" w:eastAsia="Times New Roman" w:hAnsi="Times New Roman" w:cs="Times New Roman"/>
          <w:sz w:val="24"/>
          <w:szCs w:val="24"/>
          <w:lang w:eastAsia="bg-BG"/>
        </w:rPr>
        <w:t>, от които може да се извлече необходимата информация за оценяване.</w:t>
      </w:r>
    </w:p>
    <w:p w:rsidR="00764D88" w:rsidRDefault="002126E2" w:rsidP="002126E2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Материал Хетерогенна PVC</w:t>
      </w:r>
      <w:r w:rsidR="00667B68"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настилка - ..................</w:t>
      </w:r>
      <w:r w:rsidR="00764D88" w:rsidRP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64D8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мм</w:t>
      </w:r>
      <w:r w:rsidR="00667B6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(изписва се </w:t>
      </w:r>
      <w:r w:rsidR="00764D8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дебелина на износващия слой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667B68" w:rsidRPr="002126E2" w:rsidRDefault="00667B68" w:rsidP="002126E2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Минимални изисквания на Възложителя за настилката: дебелина – min  2 мм; дебелина на износващия слой – min 0,3 мм; антибактериално обработ</w:t>
      </w:r>
      <w:r w:rsidR="00FB5ED7">
        <w:rPr>
          <w:rFonts w:ascii="Times New Roman" w:eastAsia="Times New Roman" w:hAnsi="Times New Roman" w:cs="Times New Roman"/>
          <w:sz w:val="24"/>
          <w:szCs w:val="24"/>
          <w:lang w:eastAsia="bg-BG"/>
        </w:rPr>
        <w:t>ена; антихлъзгащ коефицент – R9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с покритие на износващия слой с UV защита; антистатична – AS; звукоизолация – </w:t>
      </w:r>
      <w:r w:rsidRPr="00FB5ED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EN ISO 717-2</w:t>
      </w:r>
      <w:r w:rsidR="002126E2" w:rsidRPr="00FB5E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</w:t>
      </w:r>
      <w:r w:rsidRPr="00FB5E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клас на горимост: </w:t>
      </w:r>
      <w:r w:rsidR="00E0748A" w:rsidRPr="00FB5ED7">
        <w:rPr>
          <w:rFonts w:ascii="Times New Roman" w:hAnsi="Times New Roman"/>
          <w:sz w:val="24"/>
          <w:szCs w:val="24"/>
        </w:rPr>
        <w:t xml:space="preserve">EN 13501-1 </w:t>
      </w:r>
      <w:r w:rsidR="00AD6824" w:rsidRPr="005F5ECB">
        <w:rPr>
          <w:rFonts w:ascii="Times New Roman" w:hAnsi="Times New Roman"/>
          <w:sz w:val="24"/>
          <w:szCs w:val="24"/>
        </w:rPr>
        <w:t xml:space="preserve">или еквивалент </w:t>
      </w:r>
      <w:r w:rsidR="005F5ECB">
        <w:rPr>
          <w:rFonts w:ascii="Times New Roman" w:hAnsi="Times New Roman"/>
          <w:sz w:val="24"/>
          <w:szCs w:val="24"/>
        </w:rPr>
        <w:t>-</w:t>
      </w:r>
      <w:r w:rsidR="00E0748A" w:rsidRPr="005F5ECB">
        <w:rPr>
          <w:rFonts w:ascii="Times New Roman" w:hAnsi="Times New Roman"/>
          <w:sz w:val="24"/>
          <w:szCs w:val="24"/>
        </w:rPr>
        <w:t xml:space="preserve"> Bfl-S1 /трудно горими/</w:t>
      </w:r>
      <w:r w:rsidRP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>; да съответства на стандарта REACH (без канцерогенни, мутагенни и токсични вещества в състава си); емисии на TVOC сл</w:t>
      </w:r>
      <w:r w:rsidR="00FB5ED7" w:rsidRP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>ед 28 дни съгласно ISO 16000-6</w:t>
      </w:r>
      <w:r w:rsidR="00AD6824" w:rsidRP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D6824" w:rsidRPr="005F5ECB">
        <w:rPr>
          <w:rFonts w:ascii="Times New Roman" w:hAnsi="Times New Roman"/>
          <w:sz w:val="24"/>
          <w:szCs w:val="24"/>
        </w:rPr>
        <w:t>или еквивалент</w:t>
      </w:r>
      <w:r w:rsidR="00FB5ED7" w:rsidRP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F5ECB">
        <w:rPr>
          <w:rFonts w:ascii="Times New Roman" w:eastAsia="Times New Roman" w:hAnsi="Times New Roman" w:cs="Times New Roman"/>
          <w:sz w:val="24"/>
          <w:szCs w:val="24"/>
          <w:lang w:eastAsia="bg-BG"/>
        </w:rPr>
        <w:t>&lt; 10 микрограма/m3</w:t>
      </w:r>
    </w:p>
    <w:p w:rsidR="00764D88" w:rsidRDefault="00764D88" w:rsidP="00617688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7688" w:rsidRPr="002126E2" w:rsidRDefault="00617688" w:rsidP="00617688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Материал Камерна система за PVC дограма</w:t>
      </w:r>
      <w:r w:rsidR="00667B68"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...............</w:t>
      </w:r>
      <w:r w:rsidR="00764D88" w:rsidRP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64D8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W/m2K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(изписва се </w:t>
      </w:r>
      <w:r w:rsidR="00764D88" w:rsidRP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>коефициент на топлопреминаване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44243" w:rsidRPr="002126E2" w:rsidRDefault="00A714BD" w:rsidP="0074424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Минимални изисквания на Възложителя за дограма: </w:t>
      </w:r>
      <w:r w:rsidR="00667B6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PVC бяла – петкамерна</w:t>
      </w:r>
      <w:r w:rsidR="00744243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коефициент на топлопреминаване по-малък или равен на 1,4 W/m2K.</w:t>
      </w:r>
    </w:p>
    <w:p w:rsidR="00764D88" w:rsidRDefault="00764D88" w:rsidP="0074424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64D88" w:rsidRDefault="00617688" w:rsidP="0074424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Материал Стъклопакет за PVC дограма</w:t>
      </w:r>
      <w:r w:rsidR="00667B68"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</w:t>
      </w:r>
      <w:r w:rsidR="00764D88"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</w:t>
      </w:r>
      <w:r w:rsidR="00764D88" w:rsidRP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64D8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W/m2K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(изписва се </w:t>
      </w:r>
      <w:r w:rsidR="00764D88" w:rsidRP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>коефициент на топлопреминаване</w:t>
      </w:r>
      <w:r w:rsidR="00764D8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64D88" w:rsidRDefault="00A714BD" w:rsidP="00764D88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</w:t>
      </w:r>
      <w:r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Минимални изисквания на Възложителя за стъклопакет: </w:t>
      </w:r>
      <w:r w:rsidR="00667B6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Стъклопакет  външно стъкл</w:t>
      </w:r>
      <w:r w:rsid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>о - мултифункционално, вътрешно</w:t>
      </w:r>
      <w:r w:rsidR="00667B68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бяло</w:t>
      </w:r>
      <w:r w:rsidR="00744243" w:rsidRPr="002126E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коефициент на топлопреминаване по-малък или равен на 1,4 W/m2K.</w:t>
      </w:r>
    </w:p>
    <w:p w:rsidR="00764D88" w:rsidRPr="00764D88" w:rsidRDefault="00764D88" w:rsidP="00764D88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D88">
        <w:rPr>
          <w:rFonts w:ascii="Times New Roman" w:eastAsia="Times New Roman" w:hAnsi="Times New Roman" w:cs="Times New Roman"/>
          <w:sz w:val="24"/>
          <w:szCs w:val="24"/>
        </w:rPr>
        <w:t xml:space="preserve">По време на изпълнение на дейностите ще използвам следните основни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строителни материали посочени в т. 4</w:t>
      </w:r>
      <w:r w:rsidRPr="00764D88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9"/>
        <w:gridCol w:w="4532"/>
        <w:gridCol w:w="1532"/>
        <w:gridCol w:w="1165"/>
        <w:gridCol w:w="2039"/>
      </w:tblGrid>
      <w:tr w:rsidR="00764D88" w:rsidRPr="00764D88" w:rsidTr="00764D88">
        <w:trPr>
          <w:trHeight w:hRule="exact" w:val="899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на изделието 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Стандарт/Качество</w:t>
            </w:r>
          </w:p>
        </w:tc>
      </w:tr>
      <w:tr w:rsidR="00764D88" w:rsidRPr="00764D88" w:rsidTr="00764D88">
        <w:trPr>
          <w:trHeight w:hRule="exact" w:val="283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D88" w:rsidRPr="00764D88" w:rsidTr="00764D88">
        <w:trPr>
          <w:trHeight w:hRule="exact" w:val="283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Хетерогенна PVC настилка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D88" w:rsidRPr="00764D88" w:rsidTr="00764D88">
        <w:trPr>
          <w:trHeight w:hRule="exact" w:val="625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autoSpaceDE w:val="0"/>
              <w:autoSpaceDN w:val="0"/>
              <w:adjustRightInd w:val="0"/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Материал Камерна система за PVC дограма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D88" w:rsidRPr="00764D88" w:rsidTr="00764D88">
        <w:trPr>
          <w:trHeight w:hRule="exact" w:val="283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D8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Материал Стъклопакет за PVC дограма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4D88" w:rsidRPr="00764D88" w:rsidRDefault="00764D88" w:rsidP="00764D88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4D88" w:rsidRPr="002126E2" w:rsidRDefault="00764D88" w:rsidP="00744243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126E2" w:rsidRDefault="002126E2" w:rsidP="002126E2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Забележка: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</w:p>
    <w:p w:rsidR="0088150F" w:rsidRPr="0088150F" w:rsidRDefault="0088150F" w:rsidP="008815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5ECB">
        <w:rPr>
          <w:rFonts w:ascii="Times New Roman" w:hAnsi="Times New Roman" w:cs="Times New Roman"/>
          <w:i/>
          <w:iCs/>
          <w:sz w:val="24"/>
          <w:szCs w:val="24"/>
        </w:rPr>
        <w:t>Участник, който посочи и предложи материал, който не покрива минималните изисквания на Възложителя и заложените параметри за оценяване, ще бъде остранен от участие.</w:t>
      </w:r>
      <w:bookmarkStart w:id="0" w:name="_GoBack"/>
      <w:bookmarkEnd w:id="0"/>
    </w:p>
    <w:p w:rsidR="002126E2" w:rsidRPr="00B5217B" w:rsidRDefault="002126E2" w:rsidP="002126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Всички основни строителни материали по т. 4, които ще бъдат вложени трябва да са придружени с декларации за експлоатационни показатели/за характеристики 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>и/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>или със сертификати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и/или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удостоверения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и/или 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>каталози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и/или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брошури 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>и/или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 други документи, доказващи съответствие на влаганите материали, както и да може да се извлече необходимата информация за оценяване на трите оценявани материала.</w:t>
      </w:r>
    </w:p>
    <w:p w:rsidR="002126E2" w:rsidRPr="00764D88" w:rsidRDefault="002126E2" w:rsidP="002126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21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Забележка: 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При липса на приложени </w:t>
      </w:r>
      <w:r w:rsidR="00262D58" w:rsidRPr="00B5217B">
        <w:rPr>
          <w:rFonts w:ascii="Times New Roman" w:hAnsi="Times New Roman" w:cs="Times New Roman"/>
          <w:i/>
          <w:iCs/>
          <w:sz w:val="24"/>
          <w:szCs w:val="24"/>
        </w:rPr>
        <w:t>декларации за експлоатационни показатели/за характеристики и/или със сертификати и/или удостоверения и/или каталози и/или брошури и/или други документи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 xml:space="preserve">, доказващи съответствие на влаганите материали, </w:t>
      </w:r>
      <w:r w:rsidR="00262D58" w:rsidRPr="00B5217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и включващи</w:t>
      </w:r>
      <w:r w:rsidRPr="00B5217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необходимата информация за оценяване на трите оценявани материала</w:t>
      </w:r>
      <w:r w:rsidRPr="00B5217B">
        <w:rPr>
          <w:rFonts w:ascii="Times New Roman" w:hAnsi="Times New Roman" w:cs="Times New Roman"/>
          <w:i/>
          <w:iCs/>
          <w:sz w:val="24"/>
          <w:szCs w:val="24"/>
        </w:rPr>
        <w:t>, участникът се отстранява от участие в процедурата.</w:t>
      </w:r>
      <w:r w:rsidR="00764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64D88" w:rsidRPr="00764D8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Документи на чужд език </w:t>
      </w:r>
      <w:r w:rsidR="00764D88" w:rsidRPr="00764D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се представят задължително и в превод.</w:t>
      </w:r>
    </w:p>
    <w:p w:rsidR="00617688" w:rsidRPr="00B5217B" w:rsidRDefault="00617688" w:rsidP="00744243">
      <w:pPr>
        <w:spacing w:after="0"/>
        <w:ind w:right="23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854DE5" w:rsidRPr="00B5217B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21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041C1D" w:rsidRPr="00B521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</w:t>
      </w:r>
      <w:r w:rsidR="0016775D" w:rsidRPr="00B521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я</w:t>
      </w:r>
      <w:r w:rsidR="00854DE5" w:rsidRPr="00B521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9A69BE" w:rsidRPr="00B5217B" w:rsidRDefault="00262D58" w:rsidP="00262D58">
      <w:pPr>
        <w:pStyle w:val="ListParagraph"/>
        <w:numPr>
          <w:ilvl w:val="0"/>
          <w:numId w:val="33"/>
        </w:numPr>
        <w:ind w:right="23"/>
        <w:jc w:val="both"/>
        <w:rPr>
          <w:b/>
          <w:lang w:eastAsia="bg-BG"/>
        </w:rPr>
      </w:pPr>
      <w:r w:rsidRPr="00B5217B">
        <w:rPr>
          <w:lang w:eastAsia="bg-BG"/>
        </w:rPr>
        <w:t>Декларации за експлоатационни показатели/за характеристики и/или със сертификати и/или удостоверения и/или каталози и/или брошури и/или други документи, доказващи съответствие на влаганите материали, и включващи необходимата информация за оценяване на трите оценявани материала по т. 4</w:t>
      </w:r>
      <w:r w:rsidR="009A69BE" w:rsidRPr="00B5217B">
        <w:rPr>
          <w:lang w:eastAsia="bg-BG"/>
        </w:rPr>
        <w:t>.</w:t>
      </w:r>
    </w:p>
    <w:p w:rsidR="00B45322" w:rsidRPr="00B5217B" w:rsidRDefault="00B45322" w:rsidP="00B45322">
      <w:pPr>
        <w:pStyle w:val="ListParagraph"/>
        <w:numPr>
          <w:ilvl w:val="0"/>
          <w:numId w:val="33"/>
        </w:numPr>
        <w:ind w:right="23"/>
        <w:jc w:val="both"/>
        <w:rPr>
          <w:b/>
          <w:lang w:eastAsia="bg-BG"/>
        </w:rPr>
      </w:pPr>
      <w:r w:rsidRPr="00B5217B">
        <w:rPr>
          <w:iCs/>
        </w:rPr>
        <w:lastRenderedPageBreak/>
        <w:t xml:space="preserve">Линеен календарен план-график </w:t>
      </w:r>
      <w:r w:rsidR="00C91676" w:rsidRPr="00B5217B">
        <w:rPr>
          <w:iCs/>
        </w:rPr>
        <w:t>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работи) и диаграма на работната ръка.</w:t>
      </w:r>
      <w:r w:rsidRPr="00B5217B">
        <w:rPr>
          <w:b/>
          <w:lang w:eastAsia="bg-BG"/>
        </w:rPr>
        <w:t xml:space="preserve"> </w:t>
      </w:r>
    </w:p>
    <w:p w:rsidR="00B45322" w:rsidRDefault="00B45322" w:rsidP="00B45322">
      <w:pPr>
        <w:ind w:right="23"/>
        <w:jc w:val="both"/>
        <w:rPr>
          <w:b/>
          <w:lang w:eastAsia="bg-BG"/>
        </w:rPr>
      </w:pPr>
    </w:p>
    <w:p w:rsidR="00641F38" w:rsidRPr="00B45322" w:rsidRDefault="00641F38" w:rsidP="00B45322">
      <w:pPr>
        <w:ind w:right="23" w:firstLine="36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B4532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Участник, на който предложеният срок за изпълнение на СМР, Линейният </w:t>
      </w:r>
      <w:r w:rsidR="00B45322" w:rsidRPr="00B45322">
        <w:rPr>
          <w:rFonts w:ascii="Times New Roman" w:hAnsi="Times New Roman" w:cs="Times New Roman"/>
          <w:b/>
          <w:iCs/>
          <w:sz w:val="24"/>
          <w:szCs w:val="24"/>
        </w:rPr>
        <w:t>календарен план-график</w:t>
      </w:r>
      <w:r w:rsidRPr="00B45322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и диаграмата на работната ръка не съответстват и не отговарят на технологичната последователност и взаимообвързаност на изпълнение на СМР, ще бъде отстранен от участие.</w:t>
      </w:r>
    </w:p>
    <w:p w:rsidR="00262D58" w:rsidRDefault="00262D58" w:rsidP="00262D5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3E2C62" w:rsidRPr="002126E2" w:rsidRDefault="003E2C62" w:rsidP="00B5217B">
      <w:pPr>
        <w:tabs>
          <w:tab w:val="left" w:pos="-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Дата: ….....................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…………..………………………………………………………..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подпис на лицето, представляващо участника)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име и фамилия на лицето, представляващо участника)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качество на лицето, представляващо участника)</w:t>
      </w:r>
    </w:p>
    <w:p w:rsidR="002126E2" w:rsidRDefault="002126E2" w:rsidP="002126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…………..………………………………………………………..</w:t>
      </w:r>
    </w:p>
    <w:p w:rsidR="00854DE5" w:rsidRPr="00B5217B" w:rsidRDefault="002126E2" w:rsidP="00B521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(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наименование на участника)</w:t>
      </w:r>
    </w:p>
    <w:sectPr w:rsidR="00854DE5" w:rsidRPr="00B5217B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36" w:rsidRDefault="005A3D36">
      <w:pPr>
        <w:spacing w:after="0" w:line="240" w:lineRule="auto"/>
      </w:pPr>
      <w:r>
        <w:separator/>
      </w:r>
    </w:p>
  </w:endnote>
  <w:endnote w:type="continuationSeparator" w:id="0">
    <w:p w:rsidR="005A3D36" w:rsidRDefault="005A3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5F5ECB">
      <w:rPr>
        <w:b/>
        <w:bCs/>
        <w:noProof/>
        <w:sz w:val="20"/>
        <w:szCs w:val="20"/>
      </w:rPr>
      <w:t>4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5F5ECB">
      <w:rPr>
        <w:b/>
        <w:bCs/>
        <w:noProof/>
        <w:sz w:val="20"/>
        <w:szCs w:val="20"/>
      </w:rPr>
      <w:t>4</w:t>
    </w:r>
    <w:r w:rsidRPr="00A77488">
      <w:rPr>
        <w:b/>
        <w:bCs/>
        <w:sz w:val="20"/>
        <w:szCs w:val="20"/>
      </w:rPr>
      <w:fldChar w:fldCharType="end"/>
    </w:r>
  </w:p>
  <w:p w:rsidR="003E2C62" w:rsidRPr="0043023B" w:rsidRDefault="003E2C62" w:rsidP="003E2C62">
    <w:pPr>
      <w:tabs>
        <w:tab w:val="center" w:pos="4536"/>
        <w:tab w:val="right" w:pos="9072"/>
      </w:tabs>
      <w:jc w:val="both"/>
      <w:rPr>
        <w:i/>
        <w:sz w:val="16"/>
        <w:szCs w:val="16"/>
        <w:lang w:val="ru-RU"/>
      </w:rPr>
    </w:pPr>
    <w:r w:rsidRPr="0043023B">
      <w:rPr>
        <w:i/>
        <w:iCs/>
        <w:sz w:val="16"/>
        <w:szCs w:val="16"/>
      </w:rPr>
      <w:t xml:space="preserve">Този документ е създаден в рамките на проект </w:t>
    </w:r>
    <w:r w:rsidRPr="0043023B">
      <w:rPr>
        <w:i/>
        <w:sz w:val="16"/>
        <w:szCs w:val="16"/>
      </w:rPr>
      <w:t>„Изграждане на среда, позволяваща предоставяне на качествени социални услуги за възрастни и хора с увреждания“</w:t>
    </w:r>
    <w:r w:rsidRPr="0043023B">
      <w:rPr>
        <w:i/>
        <w:iCs/>
        <w:sz w:val="16"/>
        <w:szCs w:val="16"/>
      </w:rPr>
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36" w:rsidRDefault="005A3D36">
      <w:pPr>
        <w:spacing w:after="0" w:line="240" w:lineRule="auto"/>
      </w:pPr>
      <w:r>
        <w:separator/>
      </w:r>
    </w:p>
  </w:footnote>
  <w:footnote w:type="continuationSeparator" w:id="0">
    <w:p w:rsidR="005A3D36" w:rsidRDefault="005A3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62" w:rsidRPr="0027306A" w:rsidRDefault="003E2C62" w:rsidP="003E2C62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val="en-US"/>
      </w:rPr>
      <w:drawing>
        <wp:inline distT="0" distB="0" distL="0" distR="0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9964EE5"/>
    <w:multiLevelType w:val="hybridMultilevel"/>
    <w:tmpl w:val="96F60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3B5F22"/>
    <w:multiLevelType w:val="hybridMultilevel"/>
    <w:tmpl w:val="A6C423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87F7F18"/>
    <w:multiLevelType w:val="hybridMultilevel"/>
    <w:tmpl w:val="F37C8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6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8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25"/>
  </w:num>
  <w:num w:numId="8">
    <w:abstractNumId w:val="12"/>
  </w:num>
  <w:num w:numId="9">
    <w:abstractNumId w:val="21"/>
  </w:num>
  <w:num w:numId="10">
    <w:abstractNumId w:val="20"/>
  </w:num>
  <w:num w:numId="11">
    <w:abstractNumId w:val="4"/>
  </w:num>
  <w:num w:numId="12">
    <w:abstractNumId w:val="23"/>
  </w:num>
  <w:num w:numId="13">
    <w:abstractNumId w:val="11"/>
  </w:num>
  <w:num w:numId="14">
    <w:abstractNumId w:val="2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6"/>
  </w:num>
  <w:num w:numId="18">
    <w:abstractNumId w:val="29"/>
  </w:num>
  <w:num w:numId="19">
    <w:abstractNumId w:val="29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6"/>
  </w:num>
  <w:num w:numId="28">
    <w:abstractNumId w:val="17"/>
  </w:num>
  <w:num w:numId="29">
    <w:abstractNumId w:val="5"/>
  </w:num>
  <w:num w:numId="30">
    <w:abstractNumId w:val="9"/>
  </w:num>
  <w:num w:numId="31">
    <w:abstractNumId w:val="18"/>
  </w:num>
  <w:num w:numId="32">
    <w:abstractNumId w:val="7"/>
  </w:num>
  <w:num w:numId="3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0481"/>
    <w:rsid w:val="00041C1D"/>
    <w:rsid w:val="00070F1B"/>
    <w:rsid w:val="0008521E"/>
    <w:rsid w:val="000927CA"/>
    <w:rsid w:val="00095AD7"/>
    <w:rsid w:val="000A080D"/>
    <w:rsid w:val="000B7B02"/>
    <w:rsid w:val="000C2617"/>
    <w:rsid w:val="000D6246"/>
    <w:rsid w:val="00103F9E"/>
    <w:rsid w:val="00105606"/>
    <w:rsid w:val="001301D4"/>
    <w:rsid w:val="00133943"/>
    <w:rsid w:val="00137573"/>
    <w:rsid w:val="001638F4"/>
    <w:rsid w:val="0016775D"/>
    <w:rsid w:val="00185296"/>
    <w:rsid w:val="00191ECA"/>
    <w:rsid w:val="00192E35"/>
    <w:rsid w:val="00194603"/>
    <w:rsid w:val="0019554F"/>
    <w:rsid w:val="00197FA1"/>
    <w:rsid w:val="001A74D0"/>
    <w:rsid w:val="001B0179"/>
    <w:rsid w:val="001C558B"/>
    <w:rsid w:val="001C6605"/>
    <w:rsid w:val="001C6E8F"/>
    <w:rsid w:val="001D24AB"/>
    <w:rsid w:val="001D79B9"/>
    <w:rsid w:val="001E6AA9"/>
    <w:rsid w:val="002003C6"/>
    <w:rsid w:val="002126E2"/>
    <w:rsid w:val="0021406E"/>
    <w:rsid w:val="00226B8B"/>
    <w:rsid w:val="00262D58"/>
    <w:rsid w:val="0027117C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643F"/>
    <w:rsid w:val="00324BE4"/>
    <w:rsid w:val="00327F8E"/>
    <w:rsid w:val="00340CC1"/>
    <w:rsid w:val="003926FC"/>
    <w:rsid w:val="003B03AC"/>
    <w:rsid w:val="003B6A07"/>
    <w:rsid w:val="003C2D32"/>
    <w:rsid w:val="003D130B"/>
    <w:rsid w:val="003D59DE"/>
    <w:rsid w:val="003D673C"/>
    <w:rsid w:val="003D7FE7"/>
    <w:rsid w:val="003E0721"/>
    <w:rsid w:val="003E2C62"/>
    <w:rsid w:val="004173B5"/>
    <w:rsid w:val="00421339"/>
    <w:rsid w:val="004327CC"/>
    <w:rsid w:val="004345F5"/>
    <w:rsid w:val="0045317F"/>
    <w:rsid w:val="0045457B"/>
    <w:rsid w:val="004630EA"/>
    <w:rsid w:val="004B3E63"/>
    <w:rsid w:val="004D7759"/>
    <w:rsid w:val="004F0165"/>
    <w:rsid w:val="0051583F"/>
    <w:rsid w:val="00543AB2"/>
    <w:rsid w:val="00587469"/>
    <w:rsid w:val="00592A65"/>
    <w:rsid w:val="005A3D36"/>
    <w:rsid w:val="005A5B29"/>
    <w:rsid w:val="005D4DD1"/>
    <w:rsid w:val="005E008E"/>
    <w:rsid w:val="005F5ECB"/>
    <w:rsid w:val="00614BC8"/>
    <w:rsid w:val="0061761A"/>
    <w:rsid w:val="00617688"/>
    <w:rsid w:val="00641F38"/>
    <w:rsid w:val="006457E5"/>
    <w:rsid w:val="00651A42"/>
    <w:rsid w:val="00656057"/>
    <w:rsid w:val="00662E91"/>
    <w:rsid w:val="00667B68"/>
    <w:rsid w:val="0067041D"/>
    <w:rsid w:val="0068470D"/>
    <w:rsid w:val="006B6299"/>
    <w:rsid w:val="006C6CEE"/>
    <w:rsid w:val="006E4FA2"/>
    <w:rsid w:val="006E6248"/>
    <w:rsid w:val="00726E5F"/>
    <w:rsid w:val="007301C4"/>
    <w:rsid w:val="00744243"/>
    <w:rsid w:val="0075754C"/>
    <w:rsid w:val="00760439"/>
    <w:rsid w:val="00764D88"/>
    <w:rsid w:val="007710FA"/>
    <w:rsid w:val="00785CEE"/>
    <w:rsid w:val="00790D11"/>
    <w:rsid w:val="00792A05"/>
    <w:rsid w:val="007B0C8F"/>
    <w:rsid w:val="007B3D9A"/>
    <w:rsid w:val="00801E10"/>
    <w:rsid w:val="00813307"/>
    <w:rsid w:val="00825263"/>
    <w:rsid w:val="008378C0"/>
    <w:rsid w:val="00837BA2"/>
    <w:rsid w:val="008457CF"/>
    <w:rsid w:val="00847673"/>
    <w:rsid w:val="00854A37"/>
    <w:rsid w:val="00854DE5"/>
    <w:rsid w:val="008628F3"/>
    <w:rsid w:val="00866620"/>
    <w:rsid w:val="00876A45"/>
    <w:rsid w:val="0088150F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69BE"/>
    <w:rsid w:val="009A7390"/>
    <w:rsid w:val="009C0112"/>
    <w:rsid w:val="009E6FAC"/>
    <w:rsid w:val="009F41A2"/>
    <w:rsid w:val="00A12D12"/>
    <w:rsid w:val="00A26E14"/>
    <w:rsid w:val="00A32829"/>
    <w:rsid w:val="00A3534A"/>
    <w:rsid w:val="00A714BD"/>
    <w:rsid w:val="00A71C35"/>
    <w:rsid w:val="00A97A24"/>
    <w:rsid w:val="00AB2F8A"/>
    <w:rsid w:val="00AB6DC2"/>
    <w:rsid w:val="00AD2D91"/>
    <w:rsid w:val="00AD6824"/>
    <w:rsid w:val="00AF0C4A"/>
    <w:rsid w:val="00AF0F6A"/>
    <w:rsid w:val="00AF76B8"/>
    <w:rsid w:val="00B00AC8"/>
    <w:rsid w:val="00B10157"/>
    <w:rsid w:val="00B42602"/>
    <w:rsid w:val="00B45322"/>
    <w:rsid w:val="00B5217B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15BA5"/>
    <w:rsid w:val="00C228F2"/>
    <w:rsid w:val="00C35287"/>
    <w:rsid w:val="00C449F4"/>
    <w:rsid w:val="00C63404"/>
    <w:rsid w:val="00C771E2"/>
    <w:rsid w:val="00C8435A"/>
    <w:rsid w:val="00C91676"/>
    <w:rsid w:val="00C95FBD"/>
    <w:rsid w:val="00C96EDA"/>
    <w:rsid w:val="00CA2DA6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0748A"/>
    <w:rsid w:val="00E148B1"/>
    <w:rsid w:val="00E325C5"/>
    <w:rsid w:val="00E52007"/>
    <w:rsid w:val="00E56275"/>
    <w:rsid w:val="00E56B07"/>
    <w:rsid w:val="00E65D91"/>
    <w:rsid w:val="00E85E31"/>
    <w:rsid w:val="00E91F15"/>
    <w:rsid w:val="00E93A0D"/>
    <w:rsid w:val="00E97CB8"/>
    <w:rsid w:val="00EA2696"/>
    <w:rsid w:val="00EB41E2"/>
    <w:rsid w:val="00EB5808"/>
    <w:rsid w:val="00EC59D2"/>
    <w:rsid w:val="00ED5154"/>
    <w:rsid w:val="00ED7093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83DEA"/>
    <w:rsid w:val="00F92C13"/>
    <w:rsid w:val="00F93D0E"/>
    <w:rsid w:val="00FA183A"/>
    <w:rsid w:val="00FB2921"/>
    <w:rsid w:val="00FB5ED7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F5C3-E9B0-458B-9ACC-48D1E078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1207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Мария Стоева</cp:lastModifiedBy>
  <cp:revision>39</cp:revision>
  <cp:lastPrinted>2016-01-07T16:41:00Z</cp:lastPrinted>
  <dcterms:created xsi:type="dcterms:W3CDTF">2016-02-03T07:26:00Z</dcterms:created>
  <dcterms:modified xsi:type="dcterms:W3CDTF">2019-04-12T06:34:00Z</dcterms:modified>
</cp:coreProperties>
</file>